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1 vom 31. August 2015</w:t>
      </w:r>
    </w:p>
    <w:p>
      <w:r>
        <w:t>GR Gerichte, 2015-08-31, IT</w:t>
      </w:r>
    </w:p>
    <w:p>
      <w:r>
        <w:rPr>
          <w:b/>
        </w:rPr>
        <w:t xml:space="preserve">Quelle: </w:t>
      </w:r>
      <w:r>
        <w:t>https://mcp.opencaselaw.ch/entscheid/gr_gerichte_PVG 2014 1</w:t>
      </w:r>
    </w:p>
    <w:p>
      <w:r>
        <w:t>FR: GR_GERICHTE PVG 2014 1 du 31 août 2015</w:t>
      </w:r>
    </w:p>
    <w:p>
      <w:r>
        <w:t>IT: GR_GERICHTE PVG 2014 1 del 31 agosto 2015</w:t>
      </w:r>
    </w:p>
    <w:p>
      <w:pPr>
        <w:pStyle w:val="Heading2"/>
      </w:pPr>
      <w:r>
        <w:t>Erwägungen</w:t>
      </w:r>
    </w:p>
    <w:p>
      <w:r>
        <w:rPr>
          <w:b/>
        </w:rPr>
        <w:t>E. 1</w:t>
      </w:r>
    </w:p>
    <w:p>
      <w:r>
        <w:t>Dal punto di vista formale è ammesso al ricorso giudi- ziario e costituzionale chi è particolarmente toccato dalla deci- sione o dall’atto normativo impugnati e ha un interesse degno di protezione all’annullamento o alla modifica degli stessi (art. 50 LGA). In linea di principio, la legittimazione al ricorso presuppone che l’insorgente appartenga a quella limitata e qualificata cerchia di persone collegate all’oggetto del provvedimento impugnato da un rapporto sufficientemente stretto e intenso, atto a distinguere la sua situazione da quella della collettività. L’insorgente deve es- sere altresì detentore di un interesse personale, diretto e concreto a dolersi del provvedimento impugnato per il pregiudizio effettivo che questo gli arreca. Chi intende impugnare una decisione am- ministrativa deve quindi dimostrare che, nel caso della mancata abrogazione o modifica della stessa, egli sarebbe soggetto a degli effettivi svantaggi. Nell’evenienza la domanda del ricorrente in merito all’am- missibilità del monopolio di maestro spazzacamino è effettiva- mente in diretto contrasto con la sua candidatura come unico maestro spazzacamino nel rispettivo circondario. Siccome il ricor- rente però chiede principalmente nell’evenienza di concedergli un’ulteriore autorizzazione cantonale, accanto a quella del candi- dato effettivamente prescelto, per esercitare la funzione di mae- stro spazzacamino, tale interesse personale merita protezione in base alla pretesa lesione della libertà economica. Inoltre il ricor- rente si sente svantaggiato nei confronti del cointeressato quale diretto concorrente nell’ambito del bando, per cui essendo dato anche un rapporto particolarmente stretto con l’oggetto litigioso la legittimazione al ricorso resta comunque data.</w:t>
      </w:r>
    </w:p>
    <w:p>
      <w:r>
        <w:t>1/1 Freiheits- und Grundrechte PVG 2014 25</w:t>
      </w:r>
    </w:p>
    <w:p>
      <w:r>
        <w:rPr>
          <w:b/>
        </w:rPr>
        <w:t>E. 2</w:t>
      </w:r>
    </w:p>
    <w:p>
      <w:r>
        <w:t>b. aa), la quale merita conferma, soprattutto nei punti cruciali del volume lavorativo che permette un’esistenza economica per il ma- estro spazzacamino e garantisce alla popolazione nelle regioni di- scoste di potersi avvalere di un servizio obbligatorio a costi ragio- nevoli. Tutto sommato il monopolio degli spazzacamini nel Can- tone dei Grigioni è quindi retto da un interesse pubblico prepon- derante. ee) Alla luce di tutto ciò il monopolio degli spazzacamini ri- sulta proporzionale, siccome non esistono misure equiparabili al monopolio per garantire l’interesse pubblico di cui sopra. A tale proposito una soluzione di libero mercato implicherebbe il rischio che il mercato funzionerebbe forse nelle regioni popolate, mentre nelle regioni discoste non si troverebbe uno spazzacamino dispo- sto a lavorare a un prezzo ragionevole. Di conseguenza in quelle regioni, a causa del mancato controllo e della mancata pulizia degli impianti di combustione, potrebbe aumentare il pericolo di incendi e di incidenti e influire negativamente sull’inquinamento dell’aria. ff) In sintesi il monopolio degli spazzacamini nel Cantone dei Grigioni ha una base legale, è giustificato da un interesse pubblico ed è proporzionato allo scopo, per cui deve essere con- fermato. Di conseguenza va confermata anche l’autorizzazione emessa dall’AFG al cointeressato.</w:t>
      </w:r>
    </w:p>
    <w:p>
      <w:r>
        <w:rPr>
          <w:b/>
        </w:rPr>
        <w:t>E. 3</w:t>
      </w:r>
    </w:p>
    <w:p>
      <w:r>
        <w:t>a) Il ricorrente contesta inoltre la procedura di autoriz- zazione e di nomina del cointeressato. Essenzialmente egli adduce arbitrio e la violazione del principio di parità di trattamento in me- rito al procedimento di nomina dell’AFG ritenendo superiori le sue qualifiche. Inoltre l’AFG avrebbe violato i principi procedurali ne- gandogli la possibilità di un colloquio personale e omettendo la consultazione dei Comuni. b) L’autorità di nomina gode in ogni caso di un margine discrezionale relativamente ampio, che l’autorità di ricorso può censurare unicamente nella misura in cui siano dati gli estremi di una violazione del diritto, compreso l’uso eccessivo o l’abuso del potere discrezionale (art. 51 cpv. 1 lett. a LGA). Ipotesi, questa, che si verifica quando l’apprezzamento è esercitato in spregio dei prin- cipi fondamentali del diritto, quali l’uguaglianza davanti alla legge, la legalità, la proporzionalità, la sicurezza del diritto e la</w:t>
      </w:r>
    </w:p>
    <w:p>
      <w:r>
        <w:t>1/1 Freiheits- und Grundrechte PVG 2014 30 buona fede (DTF 119 Ib 452, 104 Ia 206). Censurabili, in particolare, sono decisioni che procedono da considerazioni estranee alla ma- teria, che si fondano su argomenti contrari alla logica o che ap- paiono altrimenti insostenibili. c) Nell’evenienza l’AFG ha pubblicato la nomina per l’as- segnazione dell’autorizzazione esclusiva di maestro spazzacami- no di Circondario tramite bando di concorso che permetteva a ognuno di inoltrare la propria candidatura senza porgere ostacoli vincolanti. Dunque in quest’ambito il principio della parità di trat- tamento era rispettato. Lo svolgimento della procedura, la valuta- zione delle candidature e la nomina cadono invece nella respon- sabilità dell’autorità di nomina, la quale gode di un ampio margine di apprezzamento. L’AFG ha considerato idonei sia il ricorrente sia il cointeressato. Ambedue le parti hanno adempito i criteri minimi dell’art. 19 cpv. 2 LPA e dimostrano di avere dei legami con i Can- toni Ticino e Grigioni. Il cointeressato svolge l’incarico d’inse- gnante per circa 45 giorni l’anno mentre il ricorrente figura quale istruttore per corsi di formazione e perito d’esame; inoltre è anche presidente della Società cantonale spazzacamini Ticino. In questo caso l’autorità ha dovuto prendere una decisione fra due candi- dature del tutto paragonabili, che a questo punto, non risulta né eccessiva né abusiva. La nomina del cointeressato rispetta i criteri menzionati, è sostenibile e quindi la decisione impugnata va con- fermata. d) Giusta l’art. 2 cfr. 7 LMI il trasferimento di attività rien- tranti in monopoli cantonali o comunali a privati si svolge su con- corso e non deve discriminare le persone con domicilio o sede in Svizzera. Le regole del bando di concorso, le quali si devono ba- sare evidentemente su criteri obiettivi, come evidenziato a mar- gine, rientrano nella responsabilità delle autorità (vedi anche Mes- saggio sulla legge federale sul libero mercato del 24 novembre 2004, BBl 2005, p. 465 e 485 seg.). A questo proposito l’Oap non è nemmeno applicabile, poiché nell’evenienza non si tratta di una prestazione che viene retribuita dallo Stato, ma dai singoli privati che sono chiamati a rimunerare il maestro spazzacamino in base alla tariffa cantonale. e) Nell’evenienza l’AFG sostiene di avere convocato il coin- teressato dopo la nomina avvenuta il 26 agosto 2013. Anche se l’AFG avesse preso una decisione anticipata e avesse invitato sol- tanto uno dei candidati a un colloquio personale, tale procedi- mento non potrebbe essere biasimato, in quanto l’autorità di no- mina può decidere indipendentemente, chi eventualmente viene</w:t>
      </w:r>
    </w:p>
    <w:p>
      <w:r>
        <w:t>1/1 Freiheits- und Grundrechte PVG 2014 31 convocato. Inoltre la pretesa del concorrente, secondo cui l’AFG avrebbe dovuto consultare i Comuni del Circondario in questione, è infondata, in quanto manca una qualsiasi rispettiva base legale (vedi la mancata approvazione della domanda E. nel Proto- collo del Gran consiglio del 15 giugno 2010, p. 625). Di conse- guenza la decisione impugnata merita anche in questo punto con- ferma. U 14 20 Sentenza del 2 giugno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